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0D" w:rsidRDefault="00F94E53" w:rsidP="002A1360">
      <w:pPr>
        <w:jc w:val="center"/>
        <w:rPr>
          <w:rFonts w:ascii="Arial" w:hAnsi="Arial" w:cs="Arial"/>
          <w:b/>
          <w:bCs/>
          <w:color w:val="002060"/>
          <w:u w:val="double" w:color="FF0000"/>
        </w:rPr>
      </w:pPr>
      <w:bookmarkStart w:id="0" w:name="_GoBack"/>
      <w:bookmarkEnd w:id="0"/>
      <w:r w:rsidRPr="007A0A1F">
        <w:rPr>
          <w:rFonts w:ascii="Arial" w:hAnsi="Arial" w:cs="Arial"/>
          <w:b/>
          <w:bCs/>
          <w:color w:val="002060"/>
          <w:u w:val="double" w:color="FF0000"/>
        </w:rPr>
        <w:t>NEW STAND-DOWN PERIOD: BISPHOSPHONATES</w:t>
      </w:r>
    </w:p>
    <w:p w:rsidR="00F94E53" w:rsidRDefault="00F94E53" w:rsidP="002A1360">
      <w:pPr>
        <w:rPr>
          <w:rFonts w:ascii="Arial" w:hAnsi="Arial" w:cs="Arial"/>
          <w:b/>
          <w:bCs/>
          <w:color w:val="002060"/>
          <w:sz w:val="21"/>
          <w:szCs w:val="21"/>
          <w:u w:val="single" w:color="FF0000"/>
        </w:rPr>
      </w:pPr>
    </w:p>
    <w:p w:rsidR="00F94E53" w:rsidRDefault="00F94E53" w:rsidP="007A0A1F">
      <w:pPr>
        <w:spacing w:line="360" w:lineRule="auto"/>
        <w:ind w:left="-142" w:right="-164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F94E53">
        <w:rPr>
          <w:rFonts w:ascii="Arial" w:hAnsi="Arial" w:cs="Arial"/>
          <w:b/>
          <w:color w:val="1F497D" w:themeColor="text2"/>
          <w:sz w:val="21"/>
          <w:szCs w:val="21"/>
        </w:rPr>
        <w:t xml:space="preserve">The British Horseracing Authority (BHA) would like to advise </w:t>
      </w:r>
      <w:r w:rsidR="00D731D8">
        <w:rPr>
          <w:rFonts w:ascii="Arial" w:hAnsi="Arial" w:cs="Arial"/>
          <w:b/>
          <w:color w:val="1F497D" w:themeColor="text2"/>
          <w:sz w:val="21"/>
          <w:szCs w:val="21"/>
        </w:rPr>
        <w:t>the Responsible Person (i.e. trainers, owners, breeders)</w:t>
      </w:r>
      <w:r w:rsidRPr="00F94E53">
        <w:rPr>
          <w:rFonts w:ascii="Arial" w:hAnsi="Arial" w:cs="Arial"/>
          <w:b/>
          <w:color w:val="1F497D" w:themeColor="text2"/>
          <w:sz w:val="21"/>
          <w:szCs w:val="21"/>
        </w:rPr>
        <w:t xml:space="preserve"> and their veterinary surgeons of a new Rule requiring a mandatory 30 day Stand-Down period from racing following the admin</w:t>
      </w:r>
      <w:r>
        <w:rPr>
          <w:rFonts w:ascii="Arial" w:hAnsi="Arial" w:cs="Arial"/>
          <w:b/>
          <w:color w:val="1F497D" w:themeColor="text2"/>
          <w:sz w:val="21"/>
          <w:szCs w:val="21"/>
        </w:rPr>
        <w:t>istration of any bisphosphonate</w:t>
      </w:r>
      <w:r w:rsidR="00D731D8">
        <w:rPr>
          <w:rFonts w:ascii="Arial" w:hAnsi="Arial" w:cs="Arial"/>
          <w:b/>
          <w:color w:val="1F497D" w:themeColor="text2"/>
          <w:sz w:val="21"/>
          <w:szCs w:val="21"/>
        </w:rPr>
        <w:t xml:space="preserve"> licensed for equine use</w:t>
      </w:r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. This Rule will be effective from </w:t>
      </w:r>
      <w:r w:rsidR="00D31F48">
        <w:rPr>
          <w:rFonts w:ascii="Arial" w:hAnsi="Arial" w:cs="Arial"/>
          <w:b/>
          <w:color w:val="1F497D" w:themeColor="text2"/>
          <w:sz w:val="21"/>
          <w:szCs w:val="21"/>
        </w:rPr>
        <w:t>10</w:t>
      </w:r>
      <w:r w:rsidR="00D731D8">
        <w:rPr>
          <w:rFonts w:ascii="Arial" w:hAnsi="Arial" w:cs="Arial"/>
          <w:b/>
          <w:color w:val="1F497D" w:themeColor="text2"/>
          <w:sz w:val="21"/>
          <w:szCs w:val="21"/>
        </w:rPr>
        <w:t xml:space="preserve"> August</w:t>
      </w:r>
      <w:r>
        <w:rPr>
          <w:rFonts w:ascii="Arial" w:hAnsi="Arial" w:cs="Arial"/>
          <w:b/>
          <w:color w:val="1F497D" w:themeColor="text2"/>
          <w:sz w:val="21"/>
          <w:szCs w:val="21"/>
        </w:rPr>
        <w:t xml:space="preserve"> 2017.</w:t>
      </w:r>
    </w:p>
    <w:p w:rsidR="00F94E53" w:rsidRDefault="00F94E53" w:rsidP="007A0A1F">
      <w:pPr>
        <w:ind w:left="-142" w:right="-164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F94E53" w:rsidRPr="007A0A1F" w:rsidRDefault="002A1360" w:rsidP="007A0A1F">
      <w:pPr>
        <w:ind w:left="-142" w:right="-164"/>
        <w:jc w:val="both"/>
        <w:rPr>
          <w:rFonts w:ascii="Arial" w:hAnsi="Arial" w:cs="Arial"/>
          <w:color w:val="1F497D" w:themeColor="text2"/>
          <w:sz w:val="21"/>
          <w:szCs w:val="21"/>
        </w:rPr>
      </w:pPr>
      <w:r w:rsidRPr="007A0A1F">
        <w:rPr>
          <w:rFonts w:ascii="Arial" w:hAnsi="Arial" w:cs="Arial"/>
          <w:noProof/>
          <w:color w:val="1F497D" w:themeColor="text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AD7" wp14:editId="5085DD14">
                <wp:simplePos x="0" y="0"/>
                <wp:positionH relativeFrom="column">
                  <wp:posOffset>-85725</wp:posOffset>
                </wp:positionH>
                <wp:positionV relativeFrom="paragraph">
                  <wp:posOffset>293370</wp:posOffset>
                </wp:positionV>
                <wp:extent cx="5891530" cy="1076325"/>
                <wp:effectExtent l="19050" t="19050" r="1397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8" w:rsidRDefault="00D31F48">
                            <w:pP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F94E53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11B </w:t>
                            </w:r>
                            <w:proofErr w:type="gramStart"/>
                            <w:r w:rsidRPr="00F94E53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F94E53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horse must not have been administered</w:t>
                            </w:r>
                          </w:p>
                          <w:p w:rsidR="00D31F48" w:rsidRDefault="00D31F48" w:rsidP="002A1360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>11.B.1any bisphosphonate under the age of three years and six months as determined by its recorded date of birth, or</w:t>
                            </w:r>
                          </w:p>
                          <w:p w:rsidR="00D31F48" w:rsidRPr="00F94E53" w:rsidRDefault="00D31F48" w:rsidP="002A1360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>11.B.2</w:t>
                            </w:r>
                            <w:r w:rsidRPr="00F94E53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any bisphosphonate on the day of the race or on any of the 30 days before the day of the race in which the horse is declared to run”.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0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3.1pt;width:463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" strokecolor="#548dd4 [1951]" strokeweight="3pt">
                <v:stroke linestyle="thickThin"/>
                <v:textbox>
                  <w:txbxContent>
                    <w:p w:rsidR="00D31F48" w:rsidRDefault="00D31F48">
                      <w:pPr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</w:pPr>
                      <w:r w:rsidRPr="00F94E53"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 xml:space="preserve">11B </w:t>
                      </w:r>
                      <w:proofErr w:type="gramStart"/>
                      <w:r w:rsidRPr="00F94E53"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F94E53"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 xml:space="preserve"> horse must not have been administered</w:t>
                      </w:r>
                    </w:p>
                    <w:p w:rsidR="00D31F48" w:rsidRDefault="00D31F48" w:rsidP="002A1360">
                      <w:pPr>
                        <w:ind w:left="720"/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>11.B.1any bisphosphonate under the age of three years and six months as determined by its recorded date of birth, or</w:t>
                      </w:r>
                    </w:p>
                    <w:p w:rsidR="00D31F48" w:rsidRPr="00F94E53" w:rsidRDefault="00D31F48" w:rsidP="002A1360">
                      <w:pPr>
                        <w:ind w:left="720"/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>11.B.2</w:t>
                      </w:r>
                      <w:r w:rsidRPr="00F94E53">
                        <w:rPr>
                          <w:rFonts w:ascii="Arial" w:hAnsi="Arial" w:cs="Arial"/>
                          <w:i/>
                          <w:color w:val="1F497D" w:themeColor="text2"/>
                          <w:sz w:val="21"/>
                          <w:szCs w:val="21"/>
                        </w:rPr>
                        <w:t xml:space="preserve"> any bisphosphonate on the day of the race or on any of the 30 days before the day of the race in which the horse is declared to run”.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C4F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42E6" wp14:editId="0E692B41">
                <wp:simplePos x="0" y="0"/>
                <wp:positionH relativeFrom="column">
                  <wp:posOffset>-85725</wp:posOffset>
                </wp:positionH>
                <wp:positionV relativeFrom="paragraph">
                  <wp:posOffset>1682115</wp:posOffset>
                </wp:positionV>
                <wp:extent cx="5891530" cy="2028825"/>
                <wp:effectExtent l="19050" t="1905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8" w:rsidRPr="007A0A1F" w:rsidRDefault="00D31F48" w:rsidP="007A0A1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Pr="007A0A1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 xml:space="preserve">BHA expectations with regard to the use of bisphosphonates in horses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 xml:space="preserve">racing or intending to race in Great Britain </w:t>
                            </w:r>
                            <w:r w:rsidRPr="007A0A1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in order to comply with the Rules of Racing</w:t>
                            </w:r>
                          </w:p>
                          <w:p w:rsidR="00D31F48" w:rsidRPr="007A0A1F" w:rsidRDefault="00D31F48" w:rsidP="00792E95">
                            <w:pPr>
                              <w:pStyle w:val="Default"/>
                              <w:spacing w:line="276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31F48" w:rsidRPr="007A0A1F" w:rsidRDefault="00D31F48" w:rsidP="007A0A1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after="64" w:line="276" w:lineRule="auto"/>
                              <w:ind w:left="284" w:hanging="284"/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7A0A1F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>The product used should be licensed for use in horses the UK;</w:t>
                            </w:r>
                          </w:p>
                          <w:p w:rsidR="00D31F48" w:rsidRPr="007A0A1F" w:rsidRDefault="00D31F48" w:rsidP="007A0A1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after="64" w:line="276" w:lineRule="auto"/>
                              <w:ind w:left="284" w:hanging="284"/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7A0A1F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>The horse must be over three years</w:t>
                            </w:r>
                            <w:r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and six months</w:t>
                            </w:r>
                            <w:r w:rsidRPr="007A0A1F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of age at the time of administration as determined by its recorded date of birth; </w:t>
                            </w:r>
                          </w:p>
                          <w:p w:rsidR="00D31F48" w:rsidRPr="007A0A1F" w:rsidRDefault="00D31F48" w:rsidP="007A0A1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after="64" w:line="276" w:lineRule="auto"/>
                              <w:ind w:left="284" w:hanging="284"/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7A0A1F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There must be a diagnosis determined by a veterinary surgeon that supports the use of a bisphosphonate as an appropriate treatment; and </w:t>
                            </w:r>
                          </w:p>
                          <w:p w:rsidR="00D31F48" w:rsidRPr="007A0A1F" w:rsidRDefault="00D31F48" w:rsidP="007A0A1F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284" w:hanging="284"/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7A0A1F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The bisphosphonate must be administered by a veterinary surgeon.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42E6" id="_x0000_s1027" type="#_x0000_t202" style="position:absolute;left:0;text-align:left;margin-left:-6.75pt;margin-top:132.45pt;width:463.9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" strokecolor="#548dd4 [1951]" strokeweight="3pt">
                <v:stroke linestyle="thickThin"/>
                <v:textbox>
                  <w:txbxContent>
                    <w:p w:rsidR="00D31F48" w:rsidRPr="007A0A1F" w:rsidRDefault="00D31F48" w:rsidP="007A0A1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Pr="007A0A1F"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 xml:space="preserve">BHA expectations with regard to the use of bisphosphonates in horses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 xml:space="preserve">racing or intending to race in Great Britain </w:t>
                      </w:r>
                      <w:r w:rsidRPr="007A0A1F"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>in order to comply with the Rules of Racing</w:t>
                      </w:r>
                    </w:p>
                    <w:p w:rsidR="00D31F48" w:rsidRPr="007A0A1F" w:rsidRDefault="00D31F48" w:rsidP="00792E95">
                      <w:pPr>
                        <w:pStyle w:val="Default"/>
                        <w:spacing w:line="276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31F48" w:rsidRPr="007A0A1F" w:rsidRDefault="00D31F48" w:rsidP="007A0A1F">
                      <w:pPr>
                        <w:pStyle w:val="Default"/>
                        <w:numPr>
                          <w:ilvl w:val="0"/>
                          <w:numId w:val="15"/>
                        </w:numPr>
                        <w:spacing w:after="64" w:line="276" w:lineRule="auto"/>
                        <w:ind w:left="284" w:hanging="284"/>
                        <w:rPr>
                          <w:color w:val="1F497D" w:themeColor="text2"/>
                          <w:sz w:val="21"/>
                          <w:szCs w:val="21"/>
                        </w:rPr>
                      </w:pPr>
                      <w:r w:rsidRPr="007A0A1F">
                        <w:rPr>
                          <w:color w:val="1F497D" w:themeColor="text2"/>
                          <w:sz w:val="21"/>
                          <w:szCs w:val="21"/>
                        </w:rPr>
                        <w:t>The product used should be licensed for use in horses the UK;</w:t>
                      </w:r>
                    </w:p>
                    <w:p w:rsidR="00D31F48" w:rsidRPr="007A0A1F" w:rsidRDefault="00D31F48" w:rsidP="007A0A1F">
                      <w:pPr>
                        <w:pStyle w:val="Default"/>
                        <w:numPr>
                          <w:ilvl w:val="0"/>
                          <w:numId w:val="15"/>
                        </w:numPr>
                        <w:spacing w:after="64" w:line="276" w:lineRule="auto"/>
                        <w:ind w:left="284" w:hanging="284"/>
                        <w:rPr>
                          <w:color w:val="1F497D" w:themeColor="text2"/>
                          <w:sz w:val="21"/>
                          <w:szCs w:val="21"/>
                        </w:rPr>
                      </w:pPr>
                      <w:r w:rsidRPr="007A0A1F">
                        <w:rPr>
                          <w:color w:val="1F497D" w:themeColor="text2"/>
                          <w:sz w:val="21"/>
                          <w:szCs w:val="21"/>
                        </w:rPr>
                        <w:t>The horse must be over three years</w:t>
                      </w:r>
                      <w:r>
                        <w:rPr>
                          <w:color w:val="1F497D" w:themeColor="text2"/>
                          <w:sz w:val="21"/>
                          <w:szCs w:val="21"/>
                        </w:rPr>
                        <w:t xml:space="preserve"> and six months</w:t>
                      </w:r>
                      <w:r w:rsidRPr="007A0A1F">
                        <w:rPr>
                          <w:color w:val="1F497D" w:themeColor="text2"/>
                          <w:sz w:val="21"/>
                          <w:szCs w:val="21"/>
                        </w:rPr>
                        <w:t xml:space="preserve"> of age at the time of administration as determined by its recorded date of birth; </w:t>
                      </w:r>
                    </w:p>
                    <w:p w:rsidR="00D31F48" w:rsidRPr="007A0A1F" w:rsidRDefault="00D31F48" w:rsidP="007A0A1F">
                      <w:pPr>
                        <w:pStyle w:val="Default"/>
                        <w:numPr>
                          <w:ilvl w:val="0"/>
                          <w:numId w:val="15"/>
                        </w:numPr>
                        <w:spacing w:after="64" w:line="276" w:lineRule="auto"/>
                        <w:ind w:left="284" w:hanging="284"/>
                        <w:rPr>
                          <w:color w:val="1F497D" w:themeColor="text2"/>
                          <w:sz w:val="21"/>
                          <w:szCs w:val="21"/>
                        </w:rPr>
                      </w:pPr>
                      <w:r w:rsidRPr="007A0A1F">
                        <w:rPr>
                          <w:color w:val="1F497D" w:themeColor="text2"/>
                          <w:sz w:val="21"/>
                          <w:szCs w:val="21"/>
                        </w:rPr>
                        <w:t xml:space="preserve">There must be a diagnosis determined by a veterinary surgeon that supports the use of a bisphosphonate as an appropriate treatment; and </w:t>
                      </w:r>
                    </w:p>
                    <w:p w:rsidR="00D31F48" w:rsidRPr="007A0A1F" w:rsidRDefault="00D31F48" w:rsidP="007A0A1F">
                      <w:pPr>
                        <w:pStyle w:val="Default"/>
                        <w:numPr>
                          <w:ilvl w:val="0"/>
                          <w:numId w:val="15"/>
                        </w:numPr>
                        <w:spacing w:line="276" w:lineRule="auto"/>
                        <w:ind w:left="284" w:hanging="284"/>
                        <w:rPr>
                          <w:color w:val="1F497D" w:themeColor="text2"/>
                          <w:sz w:val="21"/>
                          <w:szCs w:val="21"/>
                        </w:rPr>
                      </w:pPr>
                      <w:r w:rsidRPr="007A0A1F">
                        <w:rPr>
                          <w:color w:val="1F497D" w:themeColor="text2"/>
                          <w:sz w:val="21"/>
                          <w:szCs w:val="21"/>
                        </w:rPr>
                        <w:t xml:space="preserve">The bisphosphonate must be administered by a veterinary surgeon.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E53" w:rsidRPr="007A0A1F">
        <w:rPr>
          <w:rFonts w:ascii="Arial" w:hAnsi="Arial" w:cs="Arial"/>
          <w:color w:val="1F497D" w:themeColor="text2"/>
          <w:sz w:val="21"/>
          <w:szCs w:val="21"/>
        </w:rPr>
        <w:t>The Rule, an addition to Schedule (B)3 – Requirements for horse to run, will read as follows:</w:t>
      </w:r>
    </w:p>
    <w:p w:rsidR="00F94E53" w:rsidRDefault="00F94E53" w:rsidP="007A0A1F">
      <w:pPr>
        <w:ind w:right="-164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2A1360" w:rsidRDefault="002A1360" w:rsidP="002A1360">
      <w:pPr>
        <w:spacing w:line="360" w:lineRule="auto"/>
        <w:ind w:right="-164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:rsidR="00792E95" w:rsidRPr="007A0A1F" w:rsidRDefault="00792E95" w:rsidP="00792E95">
      <w:pPr>
        <w:spacing w:line="360" w:lineRule="auto"/>
        <w:ind w:left="-142" w:right="-164"/>
        <w:jc w:val="both"/>
        <w:rPr>
          <w:rFonts w:ascii="Arial" w:hAnsi="Arial" w:cs="Arial"/>
          <w:color w:val="1F497D" w:themeColor="text2"/>
          <w:sz w:val="21"/>
          <w:szCs w:val="21"/>
        </w:rPr>
      </w:pP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Due to their complex nature and action, the excretion of bisphosphonates may be </w:t>
      </w:r>
      <w:r w:rsidR="00EE6DEA" w:rsidRPr="007A0A1F">
        <w:rPr>
          <w:rFonts w:ascii="Arial" w:hAnsi="Arial" w:cs="Arial"/>
          <w:color w:val="1F497D" w:themeColor="text2"/>
          <w:sz w:val="21"/>
          <w:szCs w:val="21"/>
        </w:rPr>
        <w:t>unpredictable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, leading to considerable variation in excretion times.  This variability may be increased </w:t>
      </w:r>
      <w:r>
        <w:rPr>
          <w:rFonts w:ascii="Arial" w:hAnsi="Arial" w:cs="Arial"/>
          <w:color w:val="1F497D" w:themeColor="text2"/>
          <w:sz w:val="21"/>
          <w:szCs w:val="21"/>
        </w:rPr>
        <w:t>when bisphosphonates are administered to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 horses with </w:t>
      </w:r>
      <w:r w:rsidR="00EE6DEA" w:rsidRPr="007A0A1F">
        <w:rPr>
          <w:rFonts w:ascii="Arial" w:hAnsi="Arial" w:cs="Arial"/>
          <w:color w:val="1F497D" w:themeColor="text2"/>
          <w:sz w:val="21"/>
          <w:szCs w:val="21"/>
        </w:rPr>
        <w:t>on-going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 mu</w:t>
      </w:r>
      <w:r w:rsidR="009D65EA">
        <w:rPr>
          <w:rFonts w:ascii="Arial" w:hAnsi="Arial" w:cs="Arial"/>
          <w:color w:val="1F497D" w:themeColor="text2"/>
          <w:sz w:val="21"/>
          <w:szCs w:val="21"/>
        </w:rPr>
        <w:t xml:space="preserve">sculoskeletal disease process, including the </w:t>
      </w:r>
      <w:r w:rsidR="00EE6DEA">
        <w:rPr>
          <w:rFonts w:ascii="Arial" w:hAnsi="Arial" w:cs="Arial"/>
          <w:color w:val="1F497D" w:themeColor="text2"/>
          <w:sz w:val="21"/>
          <w:szCs w:val="21"/>
        </w:rPr>
        <w:t>possibility</w:t>
      </w:r>
      <w:r w:rsidR="009D65EA">
        <w:rPr>
          <w:rFonts w:ascii="Arial" w:hAnsi="Arial" w:cs="Arial"/>
          <w:color w:val="1F497D" w:themeColor="text2"/>
          <w:sz w:val="21"/>
          <w:szCs w:val="21"/>
        </w:rPr>
        <w:t xml:space="preserve"> that bisphosphonates may be released from bone at a period remote from initial administration. As such, it cannot be guaranteed that future musculoskeletal disease processes will not result in an Adverse Analytical Finding.</w:t>
      </w:r>
    </w:p>
    <w:p w:rsidR="00792E95" w:rsidRPr="007A0A1F" w:rsidRDefault="00792E95" w:rsidP="00792E95">
      <w:pPr>
        <w:ind w:left="-142" w:right="-164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:rsidR="00792E95" w:rsidRPr="00792E95" w:rsidRDefault="00792E95" w:rsidP="00792E95">
      <w:pPr>
        <w:spacing w:line="360" w:lineRule="auto"/>
        <w:ind w:left="-142" w:right="-164"/>
        <w:jc w:val="both"/>
        <w:rPr>
          <w:rFonts w:ascii="Arial" w:hAnsi="Arial" w:cs="Arial"/>
          <w:color w:val="1F497D" w:themeColor="text2"/>
          <w:sz w:val="21"/>
          <w:szCs w:val="21"/>
        </w:rPr>
      </w:pP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As a guide, the BHA are aware of data from studies in </w:t>
      </w:r>
      <w:r w:rsidRPr="007A0A1F">
        <w:rPr>
          <w:rFonts w:ascii="Arial" w:hAnsi="Arial" w:cs="Arial"/>
          <w:b/>
          <w:color w:val="1F497D" w:themeColor="text2"/>
          <w:sz w:val="21"/>
          <w:szCs w:val="21"/>
        </w:rPr>
        <w:t>normal horses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 which indicate that if a single dose of </w:t>
      </w:r>
      <w:r>
        <w:rPr>
          <w:rFonts w:ascii="Arial" w:hAnsi="Arial" w:cs="Arial"/>
          <w:color w:val="1F497D" w:themeColor="text2"/>
          <w:sz w:val="21"/>
          <w:szCs w:val="21"/>
        </w:rPr>
        <w:t>Tildren</w:t>
      </w:r>
      <w:r w:rsidRPr="007A0A1F">
        <w:rPr>
          <w:rFonts w:ascii="Arial" w:hAnsi="Arial" w:cs="Arial"/>
          <w:color w:val="1F497D" w:themeColor="text2"/>
          <w:sz w:val="21"/>
          <w:szCs w:val="21"/>
          <w:vertAlign w:val="superscript"/>
        </w:rPr>
        <w:t>®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 (CEVA) at 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>1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7A0A1F">
        <w:rPr>
          <w:rFonts w:ascii="Arial" w:hAnsi="Arial" w:cs="Arial"/>
          <w:color w:val="1F497D" w:themeColor="text2"/>
          <w:sz w:val="21"/>
          <w:szCs w:val="21"/>
        </w:rPr>
        <w:t xml:space="preserve">mg/kg were administered intravenously, the Detection Time would be unlikely to exceed the Stand-Down period.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A discussion between </w:t>
      </w:r>
      <w:r w:rsidR="00D731D8">
        <w:rPr>
          <w:rFonts w:ascii="Arial" w:hAnsi="Arial" w:cs="Arial"/>
          <w:color w:val="1F497D" w:themeColor="text2"/>
          <w:sz w:val="21"/>
          <w:szCs w:val="21"/>
        </w:rPr>
        <w:t>the Responsible Person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 and their veterinary surgeon is essential when considering administration of any medication which is a Prohibited Substance on raceday.</w:t>
      </w:r>
    </w:p>
    <w:p w:rsidR="002A1360" w:rsidRDefault="002A1360" w:rsidP="007A0A1F">
      <w:pPr>
        <w:rPr>
          <w:rFonts w:ascii="Arial" w:hAnsi="Arial" w:cs="Arial"/>
          <w:sz w:val="21"/>
          <w:szCs w:val="21"/>
        </w:rPr>
      </w:pPr>
    </w:p>
    <w:p w:rsidR="007A0A1F" w:rsidRPr="007A0A1F" w:rsidRDefault="00D31F48" w:rsidP="007A0A1F">
      <w:pPr>
        <w:ind w:left="-142"/>
        <w:rPr>
          <w:rFonts w:ascii="Arial" w:hAnsi="Arial" w:cs="Arial"/>
          <w:b/>
          <w:color w:val="1F497D" w:themeColor="text2"/>
          <w:sz w:val="21"/>
          <w:szCs w:val="21"/>
        </w:rPr>
      </w:pPr>
      <w:r>
        <w:rPr>
          <w:rFonts w:ascii="Arial" w:hAnsi="Arial" w:cs="Arial"/>
          <w:b/>
          <w:color w:val="1F497D" w:themeColor="text2"/>
          <w:sz w:val="21"/>
          <w:szCs w:val="21"/>
        </w:rPr>
        <w:t>03 July</w:t>
      </w:r>
      <w:r w:rsidR="007A0A1F" w:rsidRPr="007A0A1F">
        <w:rPr>
          <w:rFonts w:ascii="Arial" w:hAnsi="Arial" w:cs="Arial"/>
          <w:b/>
          <w:color w:val="1F497D" w:themeColor="text2"/>
          <w:sz w:val="21"/>
          <w:szCs w:val="21"/>
        </w:rPr>
        <w:t xml:space="preserve"> 2017</w:t>
      </w:r>
    </w:p>
    <w:sectPr w:rsidR="007A0A1F" w:rsidRPr="007A0A1F" w:rsidSect="007017B5">
      <w:headerReference w:type="default" r:id="rId7"/>
      <w:footerReference w:type="default" r:id="rId8"/>
      <w:pgSz w:w="11906" w:h="16838"/>
      <w:pgMar w:top="1440" w:right="1416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5B" w:rsidRDefault="00063D5B" w:rsidP="001F77B7">
      <w:pPr>
        <w:spacing w:line="240" w:lineRule="auto"/>
      </w:pPr>
      <w:r>
        <w:separator/>
      </w:r>
    </w:p>
  </w:endnote>
  <w:endnote w:type="continuationSeparator" w:id="0">
    <w:p w:rsidR="00063D5B" w:rsidRDefault="00063D5B" w:rsidP="001F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48" w:rsidRDefault="00D31F48" w:rsidP="001F77B7">
    <w:pPr>
      <w:pStyle w:val="Footer"/>
      <w:jc w:val="center"/>
    </w:pPr>
  </w:p>
  <w:p w:rsidR="00D31F48" w:rsidRPr="00745C6E" w:rsidRDefault="00D31F48" w:rsidP="00745C6E">
    <w:pPr>
      <w:tabs>
        <w:tab w:val="center" w:pos="4320"/>
      </w:tabs>
      <w:spacing w:line="240" w:lineRule="auto"/>
      <w:ind w:left="-1134" w:right="-1199" w:hanging="142"/>
      <w:jc w:val="center"/>
      <w:rPr>
        <w:rFonts w:ascii="Arial" w:eastAsia="Times" w:hAnsi="Arial" w:cs="Arial"/>
        <w:sz w:val="19"/>
        <w:szCs w:val="23"/>
      </w:rPr>
    </w:pPr>
    <w:bookmarkStart w:id="1" w:name="OLE_LINK1"/>
    <w:bookmarkStart w:id="2" w:name="OLE_LINK2"/>
    <w:r w:rsidRPr="00745C6E">
      <w:rPr>
        <w:rFonts w:ascii="Arial" w:eastAsia="Times" w:hAnsi="Arial" w:cs="Arial"/>
        <w:sz w:val="19"/>
        <w:szCs w:val="23"/>
      </w:rPr>
      <w:t xml:space="preserve">British Horseracing Authority Limited, 75 High Holborn, </w:t>
    </w:r>
    <w:smartTag w:uri="urn:schemas-microsoft-com:office:smarttags" w:element="City">
      <w:smartTag w:uri="urn:schemas-microsoft-com:office:smarttags" w:element="place">
        <w:r w:rsidRPr="00745C6E">
          <w:rPr>
            <w:rFonts w:ascii="Arial" w:eastAsia="Times" w:hAnsi="Arial" w:cs="Arial"/>
            <w:sz w:val="19"/>
            <w:szCs w:val="23"/>
          </w:rPr>
          <w:t>London</w:t>
        </w:r>
      </w:smartTag>
    </w:smartTag>
    <w:r w:rsidRPr="00745C6E">
      <w:rPr>
        <w:rFonts w:ascii="Arial" w:eastAsia="Times" w:hAnsi="Arial" w:cs="Arial"/>
        <w:sz w:val="19"/>
        <w:szCs w:val="23"/>
      </w:rPr>
      <w:t xml:space="preserve"> WC1V 6LS  Tel: 020 7152 0000  Fax: 020 7152 0001</w:t>
    </w:r>
  </w:p>
  <w:p w:rsidR="00D31F48" w:rsidRPr="00745C6E" w:rsidRDefault="00D31F48" w:rsidP="00745C6E">
    <w:pPr>
      <w:tabs>
        <w:tab w:val="center" w:pos="4320"/>
        <w:tab w:val="right" w:pos="8640"/>
      </w:tabs>
      <w:spacing w:line="240" w:lineRule="auto"/>
      <w:ind w:left="-426" w:right="-348"/>
      <w:jc w:val="center"/>
      <w:rPr>
        <w:rFonts w:ascii="Arial (W1)" w:eastAsia="Times" w:hAnsi="Arial (W1)" w:cs="Arial"/>
        <w:sz w:val="23"/>
        <w:szCs w:val="23"/>
      </w:rPr>
    </w:pPr>
    <w:r w:rsidRPr="00745C6E">
      <w:rPr>
        <w:rFonts w:ascii="Arial" w:eastAsia="Times" w:hAnsi="Arial" w:cs="Arial"/>
        <w:sz w:val="19"/>
        <w:szCs w:val="23"/>
      </w:rPr>
      <w:t>Web: britishhorseracing.com   Email: info@britishhorseracing.com</w:t>
    </w:r>
  </w:p>
  <w:p w:rsidR="00D31F48" w:rsidRPr="00745C6E" w:rsidRDefault="00D31F48" w:rsidP="00745C6E">
    <w:pPr>
      <w:tabs>
        <w:tab w:val="center" w:pos="4320"/>
        <w:tab w:val="right" w:pos="8640"/>
      </w:tabs>
      <w:spacing w:line="240" w:lineRule="auto"/>
      <w:ind w:left="-426" w:right="-348"/>
      <w:jc w:val="center"/>
      <w:rPr>
        <w:rFonts w:ascii="Arial" w:eastAsia="Times" w:hAnsi="Arial" w:cs="Arial"/>
        <w:sz w:val="14"/>
        <w:szCs w:val="23"/>
      </w:rPr>
    </w:pPr>
    <w:r w:rsidRPr="00745C6E">
      <w:rPr>
        <w:rFonts w:ascii="Arial" w:eastAsia="Times" w:hAnsi="Arial" w:cs="Arial"/>
        <w:sz w:val="14"/>
        <w:szCs w:val="23"/>
      </w:rPr>
      <w:t xml:space="preserve">Registered Number: 2813358 </w:t>
    </w:r>
    <w:smartTag w:uri="urn:schemas-microsoft-com:office:smarttags" w:element="place">
      <w:smartTag w:uri="urn:schemas-microsoft-com:office:smarttags" w:element="country-region">
        <w:r w:rsidRPr="00745C6E">
          <w:rPr>
            <w:rFonts w:ascii="Arial" w:eastAsia="Times" w:hAnsi="Arial" w:cs="Arial"/>
            <w:sz w:val="14"/>
            <w:szCs w:val="23"/>
          </w:rPr>
          <w:t>England</w:t>
        </w:r>
      </w:smartTag>
    </w:smartTag>
    <w:r w:rsidRPr="00745C6E">
      <w:rPr>
        <w:rFonts w:ascii="Arial" w:eastAsia="Times" w:hAnsi="Arial" w:cs="Arial"/>
        <w:sz w:val="14"/>
        <w:szCs w:val="23"/>
      </w:rPr>
      <w:t>. Calls may be recorded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5B" w:rsidRDefault="00063D5B" w:rsidP="001F77B7">
      <w:pPr>
        <w:spacing w:line="240" w:lineRule="auto"/>
      </w:pPr>
      <w:r>
        <w:separator/>
      </w:r>
    </w:p>
  </w:footnote>
  <w:footnote w:type="continuationSeparator" w:id="0">
    <w:p w:rsidR="00063D5B" w:rsidRDefault="00063D5B" w:rsidP="001F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48" w:rsidRDefault="00D31F48">
    <w:pPr>
      <w:pStyle w:val="Header"/>
    </w:pPr>
    <w:r>
      <w:rPr>
        <w:noProof/>
        <w:lang w:eastAsia="en-GB"/>
      </w:rPr>
      <w:drawing>
        <wp:inline distT="0" distB="0" distL="0" distR="0" wp14:anchorId="72FD2A24" wp14:editId="75468CE7">
          <wp:extent cx="1674919" cy="6667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Lockup_RGB Tr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26" cy="66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F48" w:rsidRDefault="00D3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redStar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84B5362"/>
    <w:multiLevelType w:val="multilevel"/>
    <w:tmpl w:val="9FBA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36F"/>
    <w:multiLevelType w:val="hybridMultilevel"/>
    <w:tmpl w:val="EB9C3FBE"/>
    <w:lvl w:ilvl="0" w:tplc="BBBEF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C62"/>
    <w:multiLevelType w:val="hybridMultilevel"/>
    <w:tmpl w:val="D7465B8E"/>
    <w:lvl w:ilvl="0" w:tplc="6F8A64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AC7"/>
    <w:multiLevelType w:val="hybridMultilevel"/>
    <w:tmpl w:val="3934EE2E"/>
    <w:lvl w:ilvl="0" w:tplc="0232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9C4"/>
    <w:multiLevelType w:val="multilevel"/>
    <w:tmpl w:val="8A78C4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F533C"/>
    <w:multiLevelType w:val="hybridMultilevel"/>
    <w:tmpl w:val="FB70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17E"/>
    <w:multiLevelType w:val="multilevel"/>
    <w:tmpl w:val="806E74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F34EE"/>
    <w:multiLevelType w:val="hybridMultilevel"/>
    <w:tmpl w:val="27CAD874"/>
    <w:lvl w:ilvl="0" w:tplc="8FAC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74AF"/>
    <w:multiLevelType w:val="multilevel"/>
    <w:tmpl w:val="7EC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D7098"/>
    <w:multiLevelType w:val="hybridMultilevel"/>
    <w:tmpl w:val="7684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75E81"/>
    <w:multiLevelType w:val="hybridMultilevel"/>
    <w:tmpl w:val="9DBA575A"/>
    <w:lvl w:ilvl="0" w:tplc="F66AD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7DBF"/>
    <w:multiLevelType w:val="multilevel"/>
    <w:tmpl w:val="9FBA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C795F"/>
    <w:multiLevelType w:val="hybridMultilevel"/>
    <w:tmpl w:val="00D2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24A5D"/>
    <w:multiLevelType w:val="hybridMultilevel"/>
    <w:tmpl w:val="BCA202E8"/>
    <w:lvl w:ilvl="0" w:tplc="F66AD2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06C22"/>
    <w:multiLevelType w:val="hybridMultilevel"/>
    <w:tmpl w:val="481C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B"/>
    <w:rsid w:val="00032A32"/>
    <w:rsid w:val="000433BE"/>
    <w:rsid w:val="00045BD7"/>
    <w:rsid w:val="0005278F"/>
    <w:rsid w:val="000558DB"/>
    <w:rsid w:val="00063D5B"/>
    <w:rsid w:val="00095443"/>
    <w:rsid w:val="000B4EDC"/>
    <w:rsid w:val="00101952"/>
    <w:rsid w:val="00136403"/>
    <w:rsid w:val="00153D06"/>
    <w:rsid w:val="0018183E"/>
    <w:rsid w:val="001929E6"/>
    <w:rsid w:val="001D37E7"/>
    <w:rsid w:val="001F77B7"/>
    <w:rsid w:val="00224560"/>
    <w:rsid w:val="00232A8F"/>
    <w:rsid w:val="0024707B"/>
    <w:rsid w:val="0026006A"/>
    <w:rsid w:val="00274319"/>
    <w:rsid w:val="002A1360"/>
    <w:rsid w:val="002E1D59"/>
    <w:rsid w:val="00341C14"/>
    <w:rsid w:val="003528D1"/>
    <w:rsid w:val="00361378"/>
    <w:rsid w:val="00365D5D"/>
    <w:rsid w:val="00370D0D"/>
    <w:rsid w:val="00372213"/>
    <w:rsid w:val="003B30ED"/>
    <w:rsid w:val="00445597"/>
    <w:rsid w:val="00456E11"/>
    <w:rsid w:val="00476692"/>
    <w:rsid w:val="00484BA3"/>
    <w:rsid w:val="004A44FD"/>
    <w:rsid w:val="004C7B62"/>
    <w:rsid w:val="004D4807"/>
    <w:rsid w:val="0050753F"/>
    <w:rsid w:val="00511DE6"/>
    <w:rsid w:val="005345C1"/>
    <w:rsid w:val="00543BD1"/>
    <w:rsid w:val="00560F30"/>
    <w:rsid w:val="0056236D"/>
    <w:rsid w:val="005A2259"/>
    <w:rsid w:val="005C266E"/>
    <w:rsid w:val="00600768"/>
    <w:rsid w:val="0064588E"/>
    <w:rsid w:val="006801BF"/>
    <w:rsid w:val="006C0620"/>
    <w:rsid w:val="006C491E"/>
    <w:rsid w:val="006D0413"/>
    <w:rsid w:val="006F52D1"/>
    <w:rsid w:val="007017B5"/>
    <w:rsid w:val="007020DF"/>
    <w:rsid w:val="00745C6E"/>
    <w:rsid w:val="007638E8"/>
    <w:rsid w:val="007900ED"/>
    <w:rsid w:val="00792E95"/>
    <w:rsid w:val="007A0A1F"/>
    <w:rsid w:val="007C16A4"/>
    <w:rsid w:val="0084409F"/>
    <w:rsid w:val="00870489"/>
    <w:rsid w:val="00877026"/>
    <w:rsid w:val="008A3337"/>
    <w:rsid w:val="008B363B"/>
    <w:rsid w:val="009221B4"/>
    <w:rsid w:val="009338C5"/>
    <w:rsid w:val="0095703F"/>
    <w:rsid w:val="00967F2B"/>
    <w:rsid w:val="00972127"/>
    <w:rsid w:val="009B279F"/>
    <w:rsid w:val="009D65EA"/>
    <w:rsid w:val="009F5FFC"/>
    <w:rsid w:val="00A52BCC"/>
    <w:rsid w:val="00A65E6A"/>
    <w:rsid w:val="00A85411"/>
    <w:rsid w:val="00A974DE"/>
    <w:rsid w:val="00AA4611"/>
    <w:rsid w:val="00AB0C21"/>
    <w:rsid w:val="00AC0590"/>
    <w:rsid w:val="00AC626A"/>
    <w:rsid w:val="00B1387A"/>
    <w:rsid w:val="00B31820"/>
    <w:rsid w:val="00B53980"/>
    <w:rsid w:val="00B90508"/>
    <w:rsid w:val="00BA3CDD"/>
    <w:rsid w:val="00BB5FC5"/>
    <w:rsid w:val="00BB6230"/>
    <w:rsid w:val="00BB6677"/>
    <w:rsid w:val="00BC349C"/>
    <w:rsid w:val="00BE3F74"/>
    <w:rsid w:val="00C05B9B"/>
    <w:rsid w:val="00C1421D"/>
    <w:rsid w:val="00C17C21"/>
    <w:rsid w:val="00C35076"/>
    <w:rsid w:val="00C83DD6"/>
    <w:rsid w:val="00C91414"/>
    <w:rsid w:val="00CA3905"/>
    <w:rsid w:val="00CC75BB"/>
    <w:rsid w:val="00CF4662"/>
    <w:rsid w:val="00D07A1C"/>
    <w:rsid w:val="00D31F48"/>
    <w:rsid w:val="00D42757"/>
    <w:rsid w:val="00D534B9"/>
    <w:rsid w:val="00D55B64"/>
    <w:rsid w:val="00D6159C"/>
    <w:rsid w:val="00D639ED"/>
    <w:rsid w:val="00D731D8"/>
    <w:rsid w:val="00D77219"/>
    <w:rsid w:val="00D84F10"/>
    <w:rsid w:val="00D921A1"/>
    <w:rsid w:val="00DD35C5"/>
    <w:rsid w:val="00DE0D66"/>
    <w:rsid w:val="00DF13C2"/>
    <w:rsid w:val="00E136BD"/>
    <w:rsid w:val="00E33069"/>
    <w:rsid w:val="00E33438"/>
    <w:rsid w:val="00E33AFB"/>
    <w:rsid w:val="00E3533A"/>
    <w:rsid w:val="00E37459"/>
    <w:rsid w:val="00E50265"/>
    <w:rsid w:val="00E80EE2"/>
    <w:rsid w:val="00E810B3"/>
    <w:rsid w:val="00E8333C"/>
    <w:rsid w:val="00EB1319"/>
    <w:rsid w:val="00EC7C6D"/>
    <w:rsid w:val="00EE6DEA"/>
    <w:rsid w:val="00EF4FAA"/>
    <w:rsid w:val="00F22E01"/>
    <w:rsid w:val="00F5023D"/>
    <w:rsid w:val="00F56D2E"/>
    <w:rsid w:val="00F83408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E23664-F301-484C-A03E-CD71238B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5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7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B7"/>
  </w:style>
  <w:style w:type="paragraph" w:styleId="Footer">
    <w:name w:val="footer"/>
    <w:basedOn w:val="Normal"/>
    <w:link w:val="FooterChar"/>
    <w:uiPriority w:val="99"/>
    <w:unhideWhenUsed/>
    <w:rsid w:val="001F77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B7"/>
  </w:style>
  <w:style w:type="table" w:styleId="TableGrid">
    <w:name w:val="Table Grid"/>
    <w:basedOn w:val="TableNormal"/>
    <w:uiPriority w:val="59"/>
    <w:rsid w:val="00F56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C491E"/>
  </w:style>
  <w:style w:type="character" w:styleId="Strong">
    <w:name w:val="Strong"/>
    <w:basedOn w:val="DefaultParagraphFont"/>
    <w:uiPriority w:val="22"/>
    <w:qFormat/>
    <w:rsid w:val="006C491E"/>
    <w:rPr>
      <w:b/>
      <w:bCs/>
    </w:rPr>
  </w:style>
  <w:style w:type="character" w:customStyle="1" w:styleId="highlight">
    <w:name w:val="highlight"/>
    <w:basedOn w:val="DefaultParagraphFont"/>
    <w:rsid w:val="006C491E"/>
  </w:style>
  <w:style w:type="paragraph" w:styleId="NormalWeb">
    <w:name w:val="Normal (Web)"/>
    <w:basedOn w:val="Normal"/>
    <w:uiPriority w:val="99"/>
    <w:semiHidden/>
    <w:unhideWhenUsed/>
    <w:rsid w:val="00F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A225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Muir</dc:creator>
  <cp:lastModifiedBy>Dr Khan</cp:lastModifiedBy>
  <cp:revision>2</cp:revision>
  <cp:lastPrinted>2017-06-28T09:41:00Z</cp:lastPrinted>
  <dcterms:created xsi:type="dcterms:W3CDTF">2017-07-05T18:02:00Z</dcterms:created>
  <dcterms:modified xsi:type="dcterms:W3CDTF">2017-07-05T18:02:00Z</dcterms:modified>
</cp:coreProperties>
</file>