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12 December 2017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International Horse Sports Confederation Welcomes </w:t>
      </w:r>
      <w:proofErr w:type="gram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Significant Progress</w:t>
      </w:r>
      <w:proofErr w:type="gram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on Key Projects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International Horse Sports Confederation (IHSC) held a series of meetings at the Hong Kong Jockey Club on Saturday, 9 December 2017.  The IHSC has endorsed developments in several key projects which highlight the </w:t>
      </w:r>
      <w:proofErr w:type="gram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significant progress</w:t>
      </w:r>
      <w:proofErr w:type="gram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being made on the important work of the IHSC, including as a result of its collaborative activities with the World </w:t>
      </w:r>
      <w:proofErr w:type="spell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Organisation</w:t>
      </w:r>
      <w:proofErr w:type="spell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for Animal Health (OIE).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Re-election of </w:t>
      </w:r>
      <w:proofErr w:type="spell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Mr</w:t>
      </w:r>
      <w:proofErr w:type="spell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Louis Romanet as IHSC President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At the annual meeting of the General Assembly, the current President of the IHSC, </w:t>
      </w:r>
      <w:proofErr w:type="spell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Mr</w:t>
      </w:r>
      <w:proofErr w:type="spell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Louis Romanet (who is also Chairman of the IFHA), was elected for a further term of two years.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Successful staging of regional workshops during 2017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IHSC received a comprehensive update on the successful staging of three OIE-IHSC regional workshops held in Johannesburg, Guatemala and Montevideo during 2017.  A key driver for the workshops is to facilitate advancements in the temporary international movement of competition horses.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workshops brought together a broad range of private and government sport horse industry stakeholders, including representatives of national equestrian federations, national racing authorities, national veterinary authorities and customs </w:t>
      </w:r>
      <w:proofErr w:type="spell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organisations</w:t>
      </w:r>
      <w:proofErr w:type="spell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in the South African, Central American and South American regions.  Priority issues and collectively-defined actions have been agreed for each region which are being actively progressed, and which the OIE-IHSC Technical Committee will continue to monitor and support.  The IHSC has supported plans for further regional workshops during 2018.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proofErr w:type="gram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Significant progress</w:t>
      </w:r>
      <w:proofErr w:type="gram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on important research projects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IHSC’s Technical Meeting also received detailed reports on some critical, and advanced, research projects which are being jointly conducted by the OIE and IHSC.  Since 2015, </w:t>
      </w:r>
      <w:proofErr w:type="gramStart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significant progress</w:t>
      </w:r>
      <w:proofErr w:type="gramEnd"/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 has been made on six scientific studies on African horse sickness, equine influenza and glanders. 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Arising from that work, the IHSC has now given its in-principle agreement to support the development of a new African horse sickness DIVA (Differentiating Infected from Vaccinated Animals) vaccine.  It is anticipated that development of a polyvalent vaccine and immunity studies may be completed for a new vaccine within approximately 18 months.  The IHSC believes that the development and production of an African horse sickness vaccine would be a major achievement, and would deliver a far-reaching positive impact on horse sports around the world.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The IHSC also noted pleasing progress in relation to: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555555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val="en-US" w:eastAsia="en-GB"/>
        </w:rPr>
        <w:t xml:space="preserve">          </w:t>
      </w: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 xml:space="preserve">the development of equine influenza vaccination protocols, which are anticipated to be included in the OIE Terrestrial Manual by 2019; and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555555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val="en-US" w:eastAsia="en-GB"/>
        </w:rPr>
        <w:t xml:space="preserve">          </w:t>
      </w: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research work into the development of a serological diagnostic assay for glanders, with critical milestones expected to be reached by mid-2018.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  <w:t>-ENDS-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Editors’ Notes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 xml:space="preserve">The IHSC was established in 2013 and brought together the international bodies for major horse sports, being: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the Federation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Equestre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Internationale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(FEI); and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lastRenderedPageBreak/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the International Federation of Horse Racing Authorities (IFHA).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key missions of the IHSC include: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being the official body for the relations of the horse industry with the OIE;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the exchange of information and technical knowledge between the FEI and IFHA; 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encouragement of cooperation between the FEI and IFHA on matters of mutual interest which affect horse sports;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5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Symbol" w:eastAsia="Times New Roman" w:hAnsi="Symbol" w:cs="Arial"/>
          <w:b/>
          <w:bCs/>
          <w:color w:val="000000"/>
          <w:sz w:val="19"/>
          <w:szCs w:val="19"/>
          <w:lang w:val="en-US" w:eastAsia="en-GB"/>
        </w:rPr>
        <w:t></w:t>
      </w:r>
      <w:r w:rsidRPr="00795A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en-GB"/>
        </w:rPr>
        <w:t xml:space="preserve">     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representation of the collective interests of the FEI and IFHA.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Louis Romanet, Chairman of the IFHA, was appointed as the President of the IHSC in 2015.  Ingmar De Vos, President of the FEI, is the Vice-President of the IHSC.  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 xml:space="preserve">Other attendees at the meetings included, from the FEI: John McEwen, FEI Bureau member and Chair of the FEI Veterinary Committee; and Dr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Göran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</w:t>
      </w:r>
      <w:proofErr w:type="spellStart"/>
      <w:proofErr w:type="gram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Akerström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,</w:t>
      </w:r>
      <w:proofErr w:type="gram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Veterinary Director of the FEI; and from the IFHA: Winfried Engelbrecht-Bresges, Vice-Chairman of the IFHA; Andrew Harding, Executive Director of the IFHA; Dr Roland Devolz, Technical Advisor; and Andrew Chesser, Secretary General of the IFHA.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About the FEI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 xml:space="preserve">The International Equestrian Federation (FEI), founded in 1921, is the international body governing equestrian sport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recognised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by the International Olympic Committee (IOC).  The FEI is the sole controlling authority for all international events in Dressage &amp; Para-Dressage, Jumping,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Eventing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, Driving &amp; Para-Driving, Endurance, Vaulting, and Reining.</w:t>
      </w:r>
    </w:p>
    <w:p w:rsidR="00795A4A" w:rsidRPr="00795A4A" w:rsidRDefault="00795A4A" w:rsidP="00795A4A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 xml:space="preserve">The FEI establishes the regulations and approves equestrian </w:t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programmes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at Championships, Continental and Regional Games as well as the Olympic &amp; Paralympic Games.</w:t>
      </w:r>
    </w:p>
    <w:p w:rsidR="00795A4A" w:rsidRPr="00795A4A" w:rsidRDefault="00795A4A" w:rsidP="00795A4A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FEI is based on the principle of equality and mutual respect between all 134 affiliated National Federations, without prejudice to race, religion or internal politics.</w:t>
      </w:r>
    </w:p>
    <w:p w:rsidR="00795A4A" w:rsidRPr="00795A4A" w:rsidRDefault="00795A4A" w:rsidP="00795A4A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FEI promotes equestrianism in all its forms and encourages the development of the FEI equestrian disciplines throughout the world. The core values of the FEI are: fair play, equality, complicity with the animal and respect for the horse and the environment.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</w:p>
    <w:p w:rsidR="00795A4A" w:rsidRPr="00795A4A" w:rsidRDefault="00795A4A" w:rsidP="00795A4A">
      <w:pPr>
        <w:shd w:val="clear" w:color="auto" w:fill="FFF1A8"/>
        <w:spacing w:after="24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About the IFHA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IFHA is the world peak body for the international sport of Thoroughbred racing. Its members are the national racing authorities across the globe which stage Thoroughbred races.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Major areas of the IFHA’s activities include: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Making and amending the International Agreement on Breeding, Racing and Wagering (the IABRW)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Policy development relating to welfare and safety of horses and riders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International Race Planning and Grading (“black type”)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World Rankings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Equine Prohibited Substances and Practices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Harmonization of Race Day Rules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left="105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•      Fostering commercial development of the racing industry globally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795A4A" w:rsidRPr="00795A4A" w:rsidRDefault="00795A4A" w:rsidP="00795A4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The IFHA is a foundation member with the FEI of the IHSC and is affiliated to the OIE.</w:t>
      </w:r>
    </w:p>
    <w:p w:rsidR="00795A4A" w:rsidRPr="00795A4A" w:rsidRDefault="00795A4A" w:rsidP="00795A4A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en-GB"/>
        </w:rPr>
      </w:pP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 </w:t>
      </w:r>
    </w:p>
    <w:p w:rsidR="004407FB" w:rsidRDefault="00795A4A" w:rsidP="00795A4A"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Media contacts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At FEI: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</w:r>
      <w:proofErr w:type="spellStart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>Grania</w:t>
      </w:r>
      <w:proofErr w:type="spellEnd"/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t xml:space="preserve"> Willis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Director Communications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lastRenderedPageBreak/>
        <w:t>+41 787 506 142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</w:r>
      <w:hyperlink r:id="rId4" w:tgtFrame="_blank" w:history="1">
        <w:r w:rsidRPr="00795A4A">
          <w:rPr>
            <w:rFonts w:ascii="Arial" w:eastAsia="Times New Roman" w:hAnsi="Arial" w:cs="Arial"/>
            <w:b/>
            <w:bCs/>
            <w:color w:val="000000"/>
            <w:sz w:val="19"/>
            <w:szCs w:val="19"/>
            <w:u w:val="single"/>
            <w:lang w:val="en-US" w:eastAsia="en-GB"/>
          </w:rPr>
          <w:t>grania.willis@fei.org</w:t>
        </w:r>
      </w:hyperlink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 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At IFHA: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Andrew Chesser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  <w:t>Secretary General</w:t>
      </w:r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</w:r>
      <w:hyperlink r:id="rId5" w:tgtFrame="_blank" w:history="1">
        <w:r w:rsidRPr="00795A4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val="en-US" w:eastAsia="en-GB"/>
          </w:rPr>
          <w:t>+1859 224 2741</w:t>
        </w:r>
      </w:hyperlink>
      <w:r w:rsidRPr="00795A4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en-GB"/>
        </w:rPr>
        <w:br/>
      </w:r>
      <w:hyperlink r:id="rId6" w:tgtFrame="_blank" w:history="1">
        <w:r w:rsidRPr="00795A4A">
          <w:rPr>
            <w:rFonts w:ascii="Arial" w:eastAsia="Times New Roman" w:hAnsi="Arial" w:cs="Arial"/>
            <w:b/>
            <w:bCs/>
            <w:color w:val="000000"/>
            <w:sz w:val="19"/>
            <w:szCs w:val="19"/>
            <w:u w:val="single"/>
            <w:lang w:val="en-US" w:eastAsia="en-GB"/>
          </w:rPr>
          <w:t>achesser@jockeyclub.com</w:t>
        </w:r>
      </w:hyperlink>
      <w:bookmarkStart w:id="0" w:name="_GoBack"/>
      <w:bookmarkEnd w:id="0"/>
    </w:p>
    <w:sectPr w:rsidR="0044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A"/>
    <w:rsid w:val="00290799"/>
    <w:rsid w:val="004407FB"/>
    <w:rsid w:val="00795A4A"/>
    <w:rsid w:val="00C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7F3A-C3FB-4C5C-9FAE-FF3E81D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45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2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7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87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3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46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669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30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485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0549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1255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20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318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197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esser@jockeyclub.com" TargetMode="External"/><Relationship Id="rId5" Type="http://schemas.openxmlformats.org/officeDocument/2006/relationships/hyperlink" Target="tel:(859)%20224-2741" TargetMode="External"/><Relationship Id="rId4" Type="http://schemas.openxmlformats.org/officeDocument/2006/relationships/hyperlink" Target="mailto:grania.willis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Dr Khan</cp:lastModifiedBy>
  <cp:revision>1</cp:revision>
  <dcterms:created xsi:type="dcterms:W3CDTF">2017-12-12T07:55:00Z</dcterms:created>
  <dcterms:modified xsi:type="dcterms:W3CDTF">2017-12-12T07:56:00Z</dcterms:modified>
</cp:coreProperties>
</file>